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Petty-Bourgeois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2025-10-19</w:t>
      </w:r>
    </w:p>
    <w:p>
      <w:pPr/>
    </w:p>
    <w:p/>
    <w:p>
      <w:r>
        <w:t xml:space="preserve">“The petty bourgeois is always inclined to take a scrap of paper for the essence of the thing. He is ill-fitted for independent organisation—that is, independent of the militant class—for the direct revolutionary struggle.” </w:t>
      </w:r>
    </w:p>
    <w:p>
      <w:r>
        <w:rPr>
          <w:b/>
        </w:rPr>
        <w:t>Vladimir Lenin, The Victory of the Cadets and the Tasks of the Workers’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