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Stalin on the Power of Theory in the Movement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2026-01-06</w:t>
      </w:r>
    </w:p>
    <w:p>
      <w:pPr/>
      <w:r>
        <w:t>1 min read</w:t>
      </w:r>
    </w:p>
    <w:p/>
    <w:p>
      <w:r>
        <w:t>Theory can become a tremendous force in the working-class movement if it is built up in indissoluble connection with revolutionary practice; for theory, and theory alone, can give the movement confidence, the power of orientation, and an understanding of the inner relation of surrounding events; for it, and it alone, can help practice to realise not only how and</w:t>
      </w:r>
    </w:p>
    <w:p>
      <w:r>
        <w:t xml:space="preserve">in which direction classes are moving at the present time, but also how and in which direction they will move in the near future. </w:t>
      </w:r>
    </w:p>
    <w:p>
      <w:r>
        <w:rPr>
          <w:b/>
        </w:rPr>
        <w:t>Joseph Stalin, “The Foundations Of Leninism”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stalin-on-the-power-of-theory-in-the-movem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