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National Struggle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2024-03-23</w:t>
      </w:r>
    </w:p>
    <w:p>
      <w:pPr/>
    </w:p>
    <w:p/>
    <w:p>
      <w:r>
        <w:t>“Sometimes the bourgeoisie succeeds in drawing the proletariat into the national movement, and then the national struggle externally assumes a "nation-wide" character. But this is so only externally. In its essence it is always a bourgeois struggle, one that is to the advantage and profit mainly of the bourgeoisie.”</w:t>
      </w:r>
    </w:p>
    <w:p>
      <w:r>
        <w:rPr>
          <w:b/>
        </w:rPr>
        <w:t>Joseph Stalin, Marxism and the National Question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the-national-strugg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