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"Middle Line"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2020-12-08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One can, and should, agree to any compromise with dissenters in the Party on questions of current policy, on questions of a purely practical nature. But if these questions are connected with disagreements based on principle, no compromise, no “middle” line can save the situation.</w:t>
      </w:r>
      <w:r/>
    </w:p>
    <w:p>
      <w:r>
        <w:rPr>
          <w:i/>
        </w:rPr>
        <w:t xml:space="preserve"> There can be no “middle” line in questions of principle. Either one set of principles or another must be made the basis of the Party’s work. A “middle” line in matters of principle is the “line” of stuffing people’s heads with rubbish, of glossing over disagreements, a “line” leading to the ideological degeneration of the Party, to the ideological death of the Party.</w:t>
      </w:r>
    </w:p>
    <w:p>
      <w:r>
        <w:rPr>
          <w:b/>
        </w:rPr>
        <w:t>Joseph Stalin</w:t>
      </w:r>
      <w:r>
        <w:t>, The Seventh Enlarged Plenum of the E.C.C.I.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middle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