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Stalin on the Middle Course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2021-10-22</w:t>
      </w:r>
    </w:p>
    <w:p>
      <w:pPr/>
    </w:p>
    <w:p>
      <w:r/>
      <w:r>
        <w:br/>
      </w:r>
      <w:r>
        <w:br/>
      </w:r>
      <w:r>
        <w:br/>
      </w:r>
      <w:r/>
    </w:p>
    <w:p>
      <w:r>
        <w:t>The policy of finding a “middle course” on questions of principle is not our policy. The policy of finding a “middle course” on questions of principle is the policy of declining and degenerating parties. Such a policy cannot but result in the Party becoming a mere bureaucratic apparatus beating the air, and detached from the masses.</w:t>
      </w:r>
    </w:p>
    <w:p>
      <w:r/>
    </w:p>
    <w:p>
      <w:r>
        <w:rPr>
          <w:b/>
        </w:rPr>
        <w:t>Joseph Stalin, “Inner-Party Questions of the VKP(b): A Report to the 7th Enlarged Plenum of ECCI, Moscow”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stalin-on-the-middle-cours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