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Marx on the Oligarchy</w:t>
      </w:r>
    </w:p>
    <w:p>
      <w:pPr>
        <w:spacing w:after="720"/>
        <w:jc w:val="center"/>
      </w:pPr>
      <w:r>
        <w:drawing>
          <wp:inline xmlns:a="http://schemas.openxmlformats.org/drawingml/2006/main" xmlns:pic="http://schemas.openxmlformats.org/drawingml/2006/picture">
            <wp:extent cx="4114800" cy="596646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596646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2025-01-20</w:t>
      </w:r>
    </w:p>
    <w:p>
      <w:pPr/>
    </w:p>
    <w:p/>
    <w:p>
      <w:r>
        <w:t>"The oligarchy does not perpetuate itself by retaining power permanently in the same hand, but by dropping it with one hand in order to catch it again with the other, and so on." – Karl Marx, “From Parliament. Roebuck's and Bulwer's Motions”.</w:t>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politsturm.com/marx-on-the-oligarch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