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Instruments of Labour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2021-08-23</w:t>
      </w:r>
    </w:p>
    <w:p>
      <w:pPr/>
    </w:p>
    <w:p>
      <w:r/>
      <w:r>
        <w:br/>
      </w:r>
      <w:r>
        <w:br/>
      </w:r>
      <w:r>
        <w:br/>
      </w:r>
      <w:r/>
    </w:p>
    <w:p>
      <w:r>
        <w:t>It is not the articles made, but how they are made, and by what instruments, that enables us to distinguish different economic epochs. Instruments of labour not only supply a standard of the degree of development to which human labour has attained, but they are also indicators of the social conditions under which that labour is carried on.</w:t>
      </w:r>
    </w:p>
    <w:p>
      <w:r/>
    </w:p>
    <w:p>
      <w:r>
        <w:rPr>
          <w:b/>
        </w:rPr>
        <w:t>Karl Marx, “Capital Volume One: Part 3”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-instruments-of-lab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