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on Revolutions and Crises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2020-03-10</w:t>
      </w:r>
    </w:p>
    <w:p>
      <w:pPr/>
    </w:p>
    <w:p>
      <w:r/>
      <w:r>
        <w:br/>
      </w:r>
      <w:r>
        <w:br/>
      </w:r>
      <w:r/>
    </w:p>
    <w:p>
      <w:r>
        <w:t>A new revolution is only a consequence of a new crisis. The one, however, is as sure to come as the other.</w:t>
      </w:r>
      <w:r/>
    </w:p>
    <w:p>
      <w:r>
        <w:rPr>
          <w:i/>
        </w:rPr>
        <w:t>Karl Marx, The Class Struggles in France, 1848 to 1850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marx-on-revolutions-and-cris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