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Revolutionary Practice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2024-05-16</w:t>
      </w:r>
    </w:p>
    <w:p>
      <w:pPr/>
    </w:p>
    <w:p/>
    <w:p>
      <w:r>
        <w:t>"The coincidence of the changing of circumstances and of human activity or self-changing can be conceived and rationally understood only as revolutionary practice."</w:t>
      </w:r>
    </w:p>
    <w:p>
      <w:r>
        <w:rPr>
          <w:b/>
        </w:rPr>
        <w:t>Karl Marx, Theses on Feuerbach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revolutionary-pract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