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Class Interests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2021-11-22</w:t>
      </w:r>
    </w:p>
    <w:p>
      <w:pPr/>
    </w:p>
    <w:p>
      <w:r/>
      <w:r>
        <w:br/>
      </w:r>
      <w:r>
        <w:br/>
      </w:r>
      <w:r>
        <w:br/>
      </w:r>
      <w:r/>
    </w:p>
    <w:p>
      <w:r>
        <w:t>For each new class which puts itself in the place of one ruling before it, is compelled, merely in order to carry through its aim, to represent its interest as the common interest of all the members of society, that is, expressed in ideal form: it has to give its ideas the form of universality, and represent them as the only rational, universally valid ones.</w:t>
      </w:r>
    </w:p>
    <w:p>
      <w:r/>
    </w:p>
    <w:p>
      <w:r>
        <w:rPr>
          <w:b/>
        </w:rPr>
        <w:t>Karl Marx,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class-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