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 and Profit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2023-05-11</w:t>
      </w:r>
    </w:p>
    <w:p>
      <w:pPr/>
    </w:p>
    <w:p/>
    <w:p>
      <w:r>
        <w:t>"If capital is sent abroad, this is not done because it absolutely could not be applied at home, but because it can be employed at a higher rate of profit in a foreign country."</w:t>
      </w:r>
    </w:p>
    <w:p>
      <w:r>
        <w:rPr>
          <w:b/>
        </w:rPr>
        <w:t>Karl Marx, “Capital Vol.3”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capital-and-prof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