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Lazy Bourgeoise's Objections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2026-07-04</w:t>
      </w:r>
    </w:p>
    <w:p>
      <w:pPr/>
    </w:p>
    <w:p/>
    <w:p>
      <w:r>
        <w:t>It has been objected, that upon the abolition of private property all work will cease, and universal laziness will overtake us.</w:t>
      </w:r>
      <w:r>
        <w:br/>
      </w:r>
      <w:r>
        <w:t>According to this, bourgeois society ought long ago to have gone to the dogs through sheer idleness; for those of its members who work, acquire nothing, and those who acquire anything, do not work.</w:t>
      </w:r>
    </w:p>
    <w:p>
      <w:r>
        <w:rPr>
          <w:b/>
        </w:rPr>
        <w:t>Karl Marx and Friedrich Engels, Manifesto of the Communist Party.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marx-and-engels-on-the-lazy-bourgeoises-obj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