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Bourgeois Treatment of Women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2022-02-22</w:t>
      </w:r>
    </w:p>
    <w:p>
      <w:pPr/>
      <w:r>
        <w:t>1 min read</w:t>
      </w:r>
    </w:p>
    <w:p>
      <w:r/>
      <w:r>
        <w:br/>
      </w:r>
      <w:r>
        <w:br/>
      </w:r>
      <w:r>
        <w:br/>
      </w:r>
      <w:r/>
    </w:p>
    <w:p>
      <w:r>
        <w:t xml:space="preserve">The bourgeois sees his wife as a mere instrument of production. He hears that the instruments of production are to be exploited in common, and, naturally, can come to no other conclusion than that the lot of being common to all will likewise fall to the women. </w:t>
      </w:r>
      <w:r>
        <w:t xml:space="preserve">He has not even a suspicion that the real point aimed at is to do away with the status </w:t>
      </w:r>
      <w:r>
        <w:t>of women as mere instruments of production.</w:t>
      </w:r>
    </w:p>
    <w:p>
      <w:r/>
    </w:p>
    <w:p>
      <w:r>
        <w:rPr>
          <w:b/>
        </w:rPr>
        <w:t>Karl Marx and Frederick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and-engels-on-bourgeois-treatment-of-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