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Bourgeois and Communist Societies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2021-11-24</w:t>
      </w:r>
    </w:p>
    <w:p>
      <w:pPr/>
    </w:p>
    <w:p>
      <w:r/>
      <w:r>
        <w:br/>
      </w:r>
      <w:r>
        <w:br/>
      </w:r>
      <w:r>
        <w:br/>
      </w:r>
      <w:r/>
    </w:p>
    <w:p>
      <w:r>
        <w:t>In bourgeois society, therefore, the past dominates the present; in Communist society, the present dominates the past. In bourgeois society, capital is independent and has individuality, while the living person is dependent and has no individuality.</w:t>
      </w:r>
    </w:p>
    <w:p>
      <w:r/>
    </w:p>
    <w:p>
      <w:r>
        <w:rPr>
          <w:b/>
        </w:rPr>
        <w:t>Karl Marx &amp; Friedrich Engels, “Communist Manifesto”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and-engels-on-bourgeois-and-communist-socie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