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Historical Place of the Workers and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2024-12-24</w:t>
      </w:r>
    </w:p>
    <w:p>
      <w:pPr/>
    </w:p>
    <w:p/>
    <w:p>
      <w:r>
        <w:t>“The mass of propertyless workers – the utterly precarious position of labour – power on a mass scale cut off from capital or from even a limited satisfaction and, therefore, no longer merely temporarily deprived of work itself as a secure source of life – presupposes the world market through competition. The proletariat can thus only exist world-historically, just as communism, its activity, can only have a “world-historical” existence.”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