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Need for Parties to be Leaders in the Revolutionary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2026-03-08</w:t>
      </w:r>
    </w:p>
    <w:p>
      <w:pPr/>
    </w:p>
    <w:p/>
    <w:p>
      <w:r>
        <w:t>“But the leaders of the revolutionary parties must also make their aims more comprehensive and bold at such a time [of revolution], so that their slogans shall always be in advance of the revolutionary initiative of the masses, serve as a beacon, reveal to them our democratic and socialist ideal in all its magnitude and splendour and show them the shortest and most direct route to complete, absolute and decisive victory.”</w:t>
      </w:r>
    </w:p>
    <w:p>
      <w:r>
        <w:rPr>
          <w:b/>
        </w:rPr>
        <w:t>Vladimir Lenin, Two Tactics of Social-Democracy in the Democratic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the-need-for-parties-to-be-leaders-in-the-revolutionary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