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Middle Course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2021-07-07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</w:p>
    <w:p>
      <w:r/>
      <w:r>
        <w:t>There can be no “middle” course in a society rent by bitter class struggle between the bourgeoisie and the proletariat, particularly when this struggle is inevitably aggravated by a revolution. And the whole essence of the class position and aspirations of the petty bourgeoisie is that they want the impossible, that they aspire to the impossible, i. e., to a “middle course”.</w:t>
      </w:r>
    </w:p>
    <w:p>
      <w:r>
        <w:t xml:space="preserve">Lenin, </w:t>
      </w:r>
      <w:r>
        <w:rPr>
          <w:b/>
        </w:rPr>
        <w:t>The Class Origins of Present-Day and “Future” Cavaignacs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middle-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