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Labor Aristocracy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2021-04-13</w:t>
      </w:r>
    </w:p>
    <w:p>
      <w:pPr/>
    </w:p>
    <w:p>
      <w:r/>
      <w:r>
        <w:br/>
      </w:r>
      <w:r>
        <w:br/>
      </w:r>
      <w:r/>
    </w:p>
    <w:p>
      <w:r>
        <w:t>Present-day (twentieth-century) imperialism has given a few advanced countries an exceptionally privileged position</w:t>
      </w:r>
      <w:r/>
      <w:r>
        <w:t>, which, everywhere in the Second International, has produced a certain type of traitor, opportunist, and social-chauvinist leaders, who champion the interests of their own craft, their own section of the labour aristocracy.</w:t>
      </w:r>
    </w:p>
    <w:p>
      <w:r>
        <w:t>Vladimir Lenin, “Left-Wing” Communism: an Infantile Disorder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labor-arist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