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Bourgeois Reaction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2020-03-20</w:t>
      </w:r>
    </w:p>
    <w:p>
      <w:pPr/>
    </w:p>
    <w:p>
      <w:r/>
      <w:r>
        <w:br/>
      </w:r>
      <w:r>
        <w:br/>
      </w:r>
      <w:r/>
    </w:p>
    <w:p>
      <w:r>
        <w:t>Reaction against the mounting proletarian struggle is inevitable in all capitalist countries</w:t>
      </w:r>
      <w:r/>
      <w:r>
        <w:t>, and it is uniting the bourgeois governments of the whole world against every popular movement, against every revolution both in Asia and, particularly, in Europe.</w:t>
      </w:r>
    </w:p>
    <w:p>
      <w:r>
        <w:t xml:space="preserve">Vladimir Lenin, </w:t>
      </w:r>
      <w:r>
        <w:rPr>
          <w:i/>
        </w:rPr>
        <w:t>“Inflammable Material in World Politics”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bourgeois-rea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