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Preserving Revolutionary Heroism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2026-09-05</w:t>
      </w:r>
    </w:p>
    <w:p>
      <w:pPr/>
    </w:p>
    <w:p/>
    <w:p>
      <w:r>
        <w:t>Preserving Revolutionary Heroism</w:t>
      </w:r>
      <w:r>
        <w:br/>
      </w:r>
      <w:r>
        <w:t>And through all its trials the working class of Russia will preserve the readiness for revolutionary struggle, the mass heroism, by which it conquered in 1905 and which will enable it to be victorious more than once in the future.</w:t>
      </w:r>
      <w:r>
        <w:br/>
      </w:r>
      <w:r>
        <w:br/>
      </w:r>
      <w:r>
        <w:rPr>
          <w:b/>
        </w:rPr>
        <w:t>Vladimir Lenin, Towards Unity</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preserving-revolutionary-hero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