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Nationalism</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2021-04-22</w:t>
      </w:r>
    </w:p>
    <w:p>
      <w:pPr/>
    </w:p>
    <w:p>
      <w:r/>
      <w:r>
        <w:br/>
      </w:r>
      <w:r>
        <w:br/>
      </w:r>
      <w:r>
        <w:br/>
      </w:r>
      <w:r>
        <w:br/>
      </w:r>
      <w:r/>
    </w:p>
    <w:p>
      <w:r/>
    </w:p>
    <w:p>
      <w:r>
        <w:t>Those who seek to serve the proletariat must unite the workers of all nations, and unswervingly fight bourgeois nationalism, domestic and foreign. The place of those who advocate the slogan of national culture is among the nationalist petty bourgeois, not among the Marxists.</w:t>
      </w:r>
    </w:p>
    <w:p>
      <w:r>
        <w:rPr>
          <w:b/>
        </w:rPr>
        <w:t>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nationalis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