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Spontaneous Movement Subordinating to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2024-11-07</w:t>
      </w:r>
    </w:p>
    <w:p>
      <w:pPr/>
    </w:p>
    <w:p/>
    <w:p>
      <w:r>
        <w:t>“...The spontaneous development of the working-class movement leads to its subordination to bourgeois ideology, to its development along the lines of the Credo programme; for the spontaneous working-class movement is trade-unionism, is Nur-Gewerkschaftlerei, and trade unionism means the ideological enslavement of the workers by the bourgeoisie.”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