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Fictitious Independence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2021-07-18</w:t>
      </w:r>
    </w:p>
    <w:p>
      <w:pPr/>
    </w:p>
    <w:p>
      <w:r/>
      <w:r>
        <w:br/>
      </w:r>
      <w:r>
        <w:br/>
      </w:r>
      <w:r>
        <w:br/>
      </w:r>
      <w:r/>
    </w:p>
    <w:p>
      <w:r>
        <w:t>The Roman slave was held by fetters: the wage labourer is bound to his owner by invisible threads. The appearance of independence is kept up by means of a constant change of employers, and by the fictio juris of a contract.</w:t>
      </w:r>
    </w:p>
    <w:p>
      <w:r/>
    </w:p>
    <w:p>
      <w:r>
        <w:rPr>
          <w:b/>
        </w:rPr>
        <w:t>Karl Marx, “Capital Volume I: Part 7”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arl-marx-on-fictitious-indepen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