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EU Renews Gulf Engagement Despite Earlier Rights Concerns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2025-11-13</w:t>
      </w:r>
    </w:p>
    <w:p>
      <w:pPr/>
      <w:r>
        <w:t>1 min read</w:t>
      </w:r>
    </w:p>
    <w:p/>
    <w:p>
      <w:r>
        <w:rPr>
          <w:b/>
        </w:rPr>
        <w:t>The EU quietly dropped its former human-rights pretence for trade and strategic expansion in the Gulf.</w:t>
      </w:r>
    </w:p>
    <w:p>
      <w:r>
        <w:rPr>
          <w:b/>
        </w:rPr>
        <w:t xml:space="preserve">Details. </w:t>
      </w:r>
      <w:r>
        <w:t xml:space="preserve">The EU opened formal </w:t>
      </w:r>
      <w:hyperlink r:id="rId11">
        <w:r>
          <w:rPr>
            <w:color w:val="0000FF"/>
            <w:u w:val="single"/>
          </w:rPr>
          <w:t>free-trade negotiations</w:t>
        </w:r>
      </w:hyperlink>
      <w:r>
        <w:t xml:space="preserve"> with the UAE in April and revived groundwork for a broader EU–GCC (Gulf Cooperation Council – a political and economic bloc of six Gulf states) partnership, signalling a return to structured economic engagement after years of stagnation.</w:t>
      </w:r>
    </w:p>
    <w:p>
      <w:r>
        <w:t xml:space="preserve">► Following the </w:t>
      </w:r>
      <w:hyperlink r:id="rId12">
        <w:r>
          <w:rPr>
            <w:color w:val="0000FF"/>
            <w:u w:val="single"/>
          </w:rPr>
          <w:t>EU–GCC summit</w:t>
        </w:r>
      </w:hyperlink>
      <w:r>
        <w:t xml:space="preserve"> in October 2024, ministers </w:t>
      </w:r>
      <w:hyperlink r:id="rId13">
        <w:r>
          <w:rPr>
            <w:color w:val="0000FF"/>
            <w:u w:val="single"/>
          </w:rPr>
          <w:t>met again</w:t>
        </w:r>
      </w:hyperlink>
      <w:r>
        <w:t xml:space="preserve"> in October 2025 and welcomed the second Regional Security Dialogue, which had taken place earlier in April. They announced new workstreams on counter-terrorism, maritime security, cyber coordination, and emergency management. Cooperation has since expanded across security and energy, supported by multi-year </w:t>
      </w:r>
      <w:hyperlink r:id="rId14">
        <w:r>
          <w:rPr>
            <w:color w:val="0000FF"/>
            <w:u w:val="single"/>
          </w:rPr>
          <w:t>“green-transition”</w:t>
        </w:r>
      </w:hyperlink>
      <w:r>
        <w:t xml:space="preserve"> programmes and finance forums in Abu Dhabi, and further talks were </w:t>
      </w:r>
      <w:hyperlink r:id="rId15">
        <w:r>
          <w:rPr>
            <w:color w:val="0000FF"/>
            <w:u w:val="single"/>
          </w:rPr>
          <w:t>agreed</w:t>
        </w:r>
      </w:hyperlink>
      <w:r>
        <w:t>.</w:t>
      </w:r>
    </w:p>
    <w:p>
      <w:r>
        <w:t xml:space="preserve">► </w:t>
      </w:r>
      <w:hyperlink r:id="rId16">
        <w:r>
          <w:rPr>
            <w:color w:val="0000FF"/>
            <w:u w:val="single"/>
          </w:rPr>
          <w:t>Joint statements</w:t>
        </w:r>
      </w:hyperlink>
      <w:r>
        <w:t xml:space="preserve"> in 2024–25 paired these initiatives with calls for a Gaza ceasefire and a two-state solution, and the EU has pressed to </w:t>
      </w:r>
      <w:hyperlink r:id="rId17">
        <w:r>
          <w:rPr>
            <w:color w:val="0000FF"/>
            <w:u w:val="single"/>
          </w:rPr>
          <w:t>reactivate</w:t>
        </w:r>
      </w:hyperlink>
      <w:r>
        <w:t xml:space="preserve"> its Rafah border mission.</w:t>
      </w:r>
    </w:p>
    <w:p>
      <w:r>
        <w:t xml:space="preserve">► Europe expects alignment against Moscow, while Gulf capitals, tied to Russia through OPEC+, pursue an independent strategy of maintaining neutrality. </w:t>
      </w:r>
    </w:p>
    <w:p>
      <w:r>
        <w:rPr>
          <w:b/>
        </w:rPr>
        <w:t>Context</w:t>
      </w:r>
      <w:r>
        <w:t xml:space="preserve">. Earlier EU–GCC trade talks </w:t>
      </w:r>
      <w:r>
        <w:rPr>
          <w:u w:val="single"/>
        </w:rPr>
        <w:t>collapsed in 2008</w:t>
      </w:r>
      <w:r>
        <w:t xml:space="preserve">, when the EU, negotiating from a position of greater energy security, used human-rights and labour issues as a pretext within its broader bargaining posture. Such issues persist – from </w:t>
      </w:r>
      <w:hyperlink r:id="rId18">
        <w:r>
          <w:rPr>
            <w:color w:val="0000FF"/>
            <w:u w:val="single"/>
          </w:rPr>
          <w:t>executions</w:t>
        </w:r>
      </w:hyperlink>
      <w:r>
        <w:t xml:space="preserve"> and </w:t>
      </w:r>
      <w:hyperlink r:id="rId19">
        <w:r>
          <w:rPr>
            <w:color w:val="0000FF"/>
            <w:u w:val="single"/>
          </w:rPr>
          <w:t>due-process abuses</w:t>
        </w:r>
      </w:hyperlink>
      <w:r>
        <w:t xml:space="preserve">, to </w:t>
      </w:r>
      <w:hyperlink r:id="rId20">
        <w:r>
          <w:rPr>
            <w:color w:val="0000FF"/>
            <w:u w:val="single"/>
          </w:rPr>
          <w:t>guardianship laws</w:t>
        </w:r>
      </w:hyperlink>
      <w:r>
        <w:t xml:space="preserve"> – but are no longer named barriers, as these "concerns" have been folded into negotiations and subordinated to strategic and investment priorities.</w:t>
      </w:r>
      <w:r>
        <w:br/>
      </w:r>
      <w:r>
        <w:br/>
      </w:r>
      <w:r>
        <w:t xml:space="preserve">► The EU’s own </w:t>
      </w:r>
      <w:hyperlink r:id="rId21">
        <w:r>
          <w:rPr>
            <w:color w:val="0000FF"/>
            <w:u w:val="single"/>
          </w:rPr>
          <w:t>record</w:t>
        </w:r>
      </w:hyperlink>
      <w:r>
        <w:t xml:space="preserve"> of </w:t>
      </w:r>
      <w:hyperlink r:id="rId22">
        <w:r>
          <w:rPr>
            <w:color w:val="0000FF"/>
            <w:u w:val="single"/>
          </w:rPr>
          <w:t>migrant exploitation</w:t>
        </w:r>
      </w:hyperlink>
      <w:r>
        <w:t xml:space="preserve"> and “</w:t>
      </w:r>
      <w:hyperlink r:id="rId23">
        <w:r>
          <w:rPr>
            <w:color w:val="0000FF"/>
            <w:u w:val="single"/>
          </w:rPr>
          <w:t>modern-slavery</w:t>
        </w:r>
      </w:hyperlink>
      <w:r>
        <w:t xml:space="preserve">” conditions, sustained through </w:t>
      </w:r>
      <w:hyperlink r:id="rId24">
        <w:r>
          <w:rPr>
            <w:color w:val="0000FF"/>
            <w:u w:val="single"/>
          </w:rPr>
          <w:t>transit-visa and subcontracting schemes</w:t>
        </w:r>
      </w:hyperlink>
      <w:r>
        <w:t>, exposes this rhetoric as purely instrumental.</w:t>
      </w:r>
    </w:p>
    <w:p>
      <w:r>
        <w:t xml:space="preserve">► Europe is attempting to restore its influence in the Gulf, having </w:t>
      </w:r>
      <w:hyperlink r:id="rId25">
        <w:r>
          <w:rPr>
            <w:color w:val="0000FF"/>
            <w:u w:val="single"/>
          </w:rPr>
          <w:t>lost trade leadership</w:t>
        </w:r>
      </w:hyperlink>
      <w:r>
        <w:t xml:space="preserve"> to China and India – a shift pushing Brussels to rebuild commercial and investment ties with the region. With the US relationship </w:t>
      </w:r>
      <w:hyperlink r:id="rId26">
        <w:r>
          <w:rPr>
            <w:color w:val="0000FF"/>
            <w:u w:val="single"/>
          </w:rPr>
          <w:t>remaining unpredictable</w:t>
        </w:r>
      </w:hyperlink>
      <w:r>
        <w:t>, the EU is broadening its alliances to protect energy supplies and strengthen political leverage, making Gulf partnerships strategically valuable.</w:t>
      </w:r>
    </w:p>
    <w:p>
      <w:r>
        <w:t xml:space="preserve">► The EU has sought to establish an independent imperialist position by establishing its own trade relations and expanding its areas of influence, such as its continued interest in </w:t>
      </w:r>
      <w:hyperlink r:id="rId27">
        <w:r>
          <w:rPr>
            <w:color w:val="0000FF"/>
            <w:u w:val="single"/>
          </w:rPr>
          <w:t>supporting Ukraine</w:t>
        </w:r>
      </w:hyperlink>
      <w:r>
        <w:t xml:space="preserve"> or in </w:t>
      </w:r>
      <w:hyperlink r:id="rId28">
        <w:r>
          <w:rPr>
            <w:color w:val="0000FF"/>
            <w:u w:val="single"/>
          </w:rPr>
          <w:t>recognising a Palestinian state</w:t>
        </w:r>
      </w:hyperlink>
      <w:r>
        <w:t xml:space="preserve"> before the US.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u-renews-gulf-engagement-despite-earlier-rights-concerns" TargetMode="External"/><Relationship Id="rId11" Type="http://schemas.openxmlformats.org/officeDocument/2006/relationships/hyperlink" Target="https://www.reuters.com/world/eu-uae-agree-launch-free-trade-talks-2025-04-10/" TargetMode="External"/><Relationship Id="rId12" Type="http://schemas.openxmlformats.org/officeDocument/2006/relationships/hyperlink" Target="https://www.consilium.europa.eu/en/meetings/international-summit/2024/10/16/" TargetMode="External"/><Relationship Id="rId13" Type="http://schemas.openxmlformats.org/officeDocument/2006/relationships/hyperlink" Target="https://www.consilium.europa.eu/media/njefxmqu/20251006-eu-gcc-joint-statement-final.pdf" TargetMode="External"/><Relationship Id="rId14" Type="http://schemas.openxmlformats.org/officeDocument/2006/relationships/hyperlink" Target="https://www.eeas.europa.eu/eeas/eu-gcc-cooperation-green-transition-project-building-sustainable-future-together_en" TargetMode="External"/><Relationship Id="rId15" Type="http://schemas.openxmlformats.org/officeDocument/2006/relationships/hyperlink" Target="https://www.gcc-sg.org/en/MediaCenter/News/Pages/news2025-10-6-11.aspx" TargetMode="External"/><Relationship Id="rId16" Type="http://schemas.openxmlformats.org/officeDocument/2006/relationships/hyperlink" Target="https://stm.dk/statsministeriet/publikationer/joint-statement-on-gaza" TargetMode="External"/><Relationship Id="rId17" Type="http://schemas.openxmlformats.org/officeDocument/2006/relationships/hyperlink" Target="https://www.eeas.europa.eu/eeas/eubam-rafah-statement-spokesperson-redeployment-mission-rafah-crossing-point_en" TargetMode="External"/><Relationship Id="rId18" Type="http://schemas.openxmlformats.org/officeDocument/2006/relationships/hyperlink" Target="https://www.amnesty.org/en/latest/news/2024/09/saudi-arabia-highest-execution-toll-in-decades-as-authorities-put-to-death-198-people/" TargetMode="External"/><Relationship Id="rId19" Type="http://schemas.openxmlformats.org/officeDocument/2006/relationships/hyperlink" Target="https://unwatch.org/outrage-as-saudi-arabia-chairs-u-n-womens-rights-commission/" TargetMode="External"/><Relationship Id="rId20" Type="http://schemas.openxmlformats.org/officeDocument/2006/relationships/hyperlink" Target="https://www.hrw.org/news/2023/03/08/saudi-arabia-law-enshrines-male-guardianship" TargetMode="External"/><Relationship Id="rId21" Type="http://schemas.openxmlformats.org/officeDocument/2006/relationships/hyperlink" Target="https://www.europarl.europa.eu/doceo/document/E-9-2023-001305_EN.html" TargetMode="External"/><Relationship Id="rId22" Type="http://schemas.openxmlformats.org/officeDocument/2006/relationships/hyperlink" Target="https://us.politsturm.com/french-company-dissolved-for-trafficking" TargetMode="External"/><Relationship Id="rId23" Type="http://schemas.openxmlformats.org/officeDocument/2006/relationships/hyperlink" Target="https://us.politsturm.com/modern-slavery-rises-to-50-million" TargetMode="External"/><Relationship Id="rId24" Type="http://schemas.openxmlformats.org/officeDocument/2006/relationships/hyperlink" Target="https://us.politsturm.com/qatar-hypocrisy" TargetMode="External"/><Relationship Id="rId25" Type="http://schemas.openxmlformats.org/officeDocument/2006/relationships/hyperlink" Target="https://www.arabnews.com/node/2587875/business-economy" TargetMode="External"/><Relationship Id="rId26" Type="http://schemas.openxmlformats.org/officeDocument/2006/relationships/hyperlink" Target="https://www.ceps.eu/the-eu-us-trade-deal-promises-temporary-relief-but-longer-term-pain/" TargetMode="External"/><Relationship Id="rId27" Type="http://schemas.openxmlformats.org/officeDocument/2006/relationships/hyperlink" Target="https://us.politsturm.com/eu-spending-on-ukraine" TargetMode="External"/><Relationship Id="rId28" Type="http://schemas.openxmlformats.org/officeDocument/2006/relationships/hyperlink" Target="https://us.politsturm.com/american-allies-recognise-pales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