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Law Being in Favor of the Capitalist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2025-01-14</w:t>
      </w:r>
    </w:p>
    <w:p>
      <w:pPr/>
    </w:p>
    <w:p/>
    <w:p>
      <w:r>
        <w:t>“Because the English bourgeois finds himself reproduced in his law, as he does in his God, the policeman's truncheon which, in a certain measure, is his own club, has for him a wonderfully soothing power. But for the working-man quite otherwise!”</w:t>
      </w:r>
    </w:p>
    <w:p>
      <w:r>
        <w:rPr>
          <w:b/>
        </w:rPr>
        <w:t>Friedrich Engels, The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the-law-being-in-favor-of-the-capita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