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Engels on the Difference between the Interests of the Worker and the Bourgeois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2023-12-07</w:t>
      </w:r>
    </w:p>
    <w:p>
      <w:pPr/>
    </w:p>
    <w:p/>
    <w:p>
      <w:r>
        <w:t>"In proportion as the working-man determines to alter the present state of things, the bourgeois becomes his avowed enemy."</w:t>
      </w:r>
    </w:p>
    <w:p>
      <w:r>
        <w:rPr>
          <w:b/>
        </w:rPr>
        <w:t>Friedrich Engels, The Condition of the Working Class in England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engels-on-the-difference-between-the-interests-of-the-worker-and-the-bourgeoi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