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State-Ownership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2022-12-25</w:t>
      </w:r>
    </w:p>
    <w:p>
      <w:pPr/>
    </w:p>
    <w:p/>
    <w:p>
      <w:r>
        <w:t>"State-ownership of the productive forces is not the solution of the conflict, but concealed within it are the technical conditions that form the elements of that solution"</w:t>
      </w:r>
    </w:p>
    <w:p>
      <w:r>
        <w:rPr>
          <w:b/>
        </w:rPr>
        <w:t>Friedrich Engels, “Socialism: Utopian and Scientific”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state-own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