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Manufacture Drawing Together the Interests of Mankind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2025-02-08</w:t>
      </w:r>
    </w:p>
    <w:p>
      <w:pPr/>
    </w:p>
    <w:p/>
    <w:p>
      <w:r>
        <w:t>“As in France politics, so in England manufacture and the movement of civil society in general drew into the whirl of history the last classes which had remained sunk in apathetic indifference to the universal interests of mankind.”</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manufacture-drawing-together-the-interests-of-mank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