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Freeing Oneself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2021-11-09</w:t>
      </w:r>
    </w:p>
    <w:p>
      <w:pPr/>
    </w:p>
    <w:p>
      <w:r/>
      <w:r>
        <w:br/>
      </w:r>
      <w:r/>
    </w:p>
    <w:p>
      <w:r>
        <w:t>The slave frees himself when, of all the relations of private property, he abolishes only the relation of slavery and thereby becomes a proletarian; the proletarian can free himself only by abolishing private property in general.</w:t>
      </w:r>
      <w:r>
        <w:br/>
      </w:r>
      <w:r>
        <w:br/>
      </w:r>
      <w:r/>
      <w:r>
        <w:br/>
      </w:r>
      <w:r>
        <w:br/>
      </w:r>
      <w:r>
        <w:rPr>
          <w:b/>
        </w:rPr>
        <w:t>Frederick Engels, “Principles of Communism”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freeing-onese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