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Antagonism between Worker Class and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2024-01-16</w:t>
      </w:r>
    </w:p>
    <w:p>
      <w:pPr/>
    </w:p>
    <w:p/>
    <w:p>
      <w:r>
        <w:t>"The working-man is made to feel at every moment that the bourgeoisie treats him as a chattel, as its property, and for this reason, if for no other, he must come forward as its enemy."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antagonism-between-worker-class-and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