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Humanity Making its own History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2024-12-22</w:t>
      </w:r>
    </w:p>
    <w:p>
      <w:pPr/>
    </w:p>
    <w:p/>
    <w:p>
      <w:r>
        <w:t>“The extraneous objective forces that have, hitherto, governed history,pass under the control of man himself. Only from that time will man himself, more and more consciously, make his own history — only from that time will the social causes set in movement by him have, in the main and in a constantly growing measure, the results intended by him. It is the ascent of man from the kingdom of necessity to the kingdom of freedom.”</w:t>
      </w:r>
    </w:p>
    <w:p>
      <w:r>
        <w:rPr>
          <w:b/>
        </w:rPr>
        <w:t>Friedrich Engels, Socialism: Utopian and Scientific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