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Cornforth on Reactionary Ideas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2023-07-20</w:t>
      </w:r>
    </w:p>
    <w:p>
      <w:pPr/>
    </w:p>
    <w:p/>
    <w:p>
      <w:r>
        <w:t>"Ideas arising out of old conditions of existence, but continuing their influence when those old conditions are already demolished or ripe for demolition, thus come to act as a reactionary, conservative force, hindering the new, progressive developments in society."</w:t>
      </w:r>
    </w:p>
    <w:p>
      <w:r>
        <w:rPr>
          <w:b/>
        </w:rPr>
        <w:t>Maurice Cornforth, Historical Materialism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cornforth-on-reactionary-idea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