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Connolly on Middle-Class Reformers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2022-07-23</w:t>
      </w:r>
    </w:p>
    <w:p>
      <w:pPr/>
    </w:p>
    <w:p>
      <w:r/>
      <w:r>
        <w:br/>
      </w:r>
      <w:r>
        <w:br/>
      </w:r>
      <w:r>
        <w:br/>
      </w:r>
      <w:r/>
    </w:p>
    <w:p>
      <w:r>
        <w:t>To the cry of the middle-class reformers, “make this or that the property of the government,” we reply, “yes, in proportion as the workers are ready to make the government their property.”</w:t>
      </w:r>
    </w:p>
    <w:p>
      <w:r/>
    </w:p>
    <w:p>
      <w:r>
        <w:rPr>
          <w:b/>
        </w:rPr>
        <w:t>James Connolly, “State monopoly versus Socialism”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connolly-on-middle-class-reform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