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British Workers in Poor Health Before Legal Retirement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p>
      <w:pPr/>
      <w:r>
        <w:t>2026-05-06</w:t>
      </w:r>
    </w:p>
    <w:p>
      <w:pPr/>
      <w:r>
        <w:t>1 min read</w:t>
      </w:r>
    </w:p>
    <w:p/>
    <w:p>
      <w:r>
        <w:rPr>
          <w:b/>
        </w:rPr>
        <w:t xml:space="preserve">Poverty has caused a two-year fall in healthy life expectancy in the UK, with the wealthiest 10% living 20 more years in good health than the poorest. </w:t>
      </w:r>
      <w:r>
        <w:rPr>
          <w:b/>
        </w:rPr>
        <w:br/>
      </w:r>
      <w:r>
        <w:rPr>
          <w:b/>
        </w:rPr>
        <w:br/>
      </w:r>
      <w:r>
        <w:rPr>
          <w:b/>
        </w:rPr>
        <w:t>Details.</w:t>
      </w:r>
      <w:r>
        <w:t xml:space="preserve"> A </w:t>
      </w:r>
      <w:hyperlink r:id="rId12">
        <w:r>
          <w:rPr>
            <w:color w:val="0000FF"/>
            <w:u w:val="single"/>
          </w:rPr>
          <w:t>recent study</w:t>
        </w:r>
      </w:hyperlink>
      <w:r>
        <w:t xml:space="preserve"> has found that poverty has caused a two-year decline in healthy life expectancy (HLE) in the UK over the past decade, with HLE falling below 61 for both men and women. This has resulted in a gap in which the wealthiest 10% live 20 more years in good health than the poorest. </w:t>
      </w:r>
    </w:p>
    <w:p>
      <w:r>
        <w:t xml:space="preserve">► Workers are being worn down before they can legally retire. In 90% of areas, the average HLE falls below the state pension age; in more than 10% of places, it has fallen below 55 years.  </w:t>
      </w:r>
      <w:r>
        <w:br/>
      </w:r>
      <w:r>
        <w:br/>
      </w:r>
      <w:r>
        <w:rPr>
          <w:b/>
        </w:rPr>
        <w:t>Context.</w:t>
      </w:r>
      <w:r>
        <w:t xml:space="preserve"> The UK remains in a </w:t>
      </w:r>
      <w:hyperlink r:id="rId13">
        <w:r>
          <w:rPr>
            <w:color w:val="0000FF"/>
            <w:u w:val="single"/>
          </w:rPr>
          <w:t>cost-of-living crisis</w:t>
        </w:r>
      </w:hyperlink>
      <w:r>
        <w:t xml:space="preserve">, with 7.1 million households </w:t>
      </w:r>
      <w:hyperlink r:id="rId14">
        <w:r>
          <w:rPr>
            <w:color w:val="0000FF"/>
            <w:u w:val="single"/>
          </w:rPr>
          <w:t>going without</w:t>
        </w:r>
      </w:hyperlink>
      <w:r>
        <w:t xml:space="preserve"> essentials. Household energy bills and food prices have </w:t>
      </w:r>
      <w:hyperlink r:id="rId15">
        <w:r>
          <w:rPr>
            <w:color w:val="0000FF"/>
            <w:u w:val="single"/>
          </w:rPr>
          <w:t>outpaced</w:t>
        </w:r>
      </w:hyperlink>
      <w:r>
        <w:t xml:space="preserve"> wage growth, forcing many in the working class into a “</w:t>
      </w:r>
      <w:hyperlink r:id="rId16">
        <w:r>
          <w:rPr>
            <w:color w:val="0000FF"/>
            <w:u w:val="single"/>
          </w:rPr>
          <w:t>heat or eat</w:t>
        </w:r>
      </w:hyperlink>
      <w:r>
        <w:t xml:space="preserve">” dilemma. Combined with long-term </w:t>
      </w:r>
      <w:hyperlink r:id="rId17">
        <w:r>
          <w:rPr>
            <w:color w:val="0000FF"/>
            <w:u w:val="single"/>
          </w:rPr>
          <w:t>underinvestment</w:t>
        </w:r>
      </w:hyperlink>
      <w:r>
        <w:t xml:space="preserve"> in public health services, these factors have accelerated the </w:t>
      </w:r>
      <w:hyperlink r:id="rId18">
        <w:r>
          <w:rPr>
            <w:color w:val="0000FF"/>
            <w:u w:val="single"/>
          </w:rPr>
          <w:t>deterioration</w:t>
        </w:r>
      </w:hyperlink>
      <w:r>
        <w:t xml:space="preserve"> of working-class health. </w:t>
      </w:r>
      <w:r>
        <w:br/>
      </w:r>
      <w:r>
        <w:br/>
      </w:r>
      <w:r>
        <w:t xml:space="preserve">► By contrast, the Soviet Union, with a planned economy that eliminated the profit motive, guaranteed workers </w:t>
      </w:r>
      <w:hyperlink r:id="rId19">
        <w:r>
          <w:rPr>
            <w:color w:val="0000FF"/>
            <w:u w:val="single"/>
          </w:rPr>
          <w:t>housing</w:t>
        </w:r>
      </w:hyperlink>
      <w:r>
        <w:t xml:space="preserve">, employment, </w:t>
      </w:r>
      <w:hyperlink r:id="rId20">
        <w:r>
          <w:rPr>
            <w:color w:val="0000FF"/>
            <w:u w:val="single"/>
          </w:rPr>
          <w:t>healthcare</w:t>
        </w:r>
      </w:hyperlink>
      <w:r>
        <w:t xml:space="preserve">, and pensions as </w:t>
      </w:r>
      <w:hyperlink r:id="rId21">
        <w:r>
          <w:rPr>
            <w:color w:val="0000FF"/>
            <w:u w:val="single"/>
          </w:rPr>
          <w:t>constitutional rights</w:t>
        </w:r>
      </w:hyperlink>
      <w:r>
        <w:t xml:space="preserve"> 90 years ago, with the aim of ensuring steady growth in living standards. 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us.politsturm.com/british-workers-in-poor-health-before-legal-retirement" TargetMode="External"/><Relationship Id="rId12" Type="http://schemas.openxmlformats.org/officeDocument/2006/relationships/hyperlink" Target="https://www.health.org.uk/reports-and-analysis/analysis/healthy-life-expectancy-trends-in-the-uk-a-watershed-moment" TargetMode="External"/><Relationship Id="rId13" Type="http://schemas.openxmlformats.org/officeDocument/2006/relationships/hyperlink" Target="https://www.tandfonline.com/doi/full/10.1080/10875549.2025.2548774#abstract" TargetMode="External"/><Relationship Id="rId14" Type="http://schemas.openxmlformats.org/officeDocument/2006/relationships/hyperlink" Target="https://us.politsturm.com/britons-struggle-to-afford-essential-goods" TargetMode="External"/><Relationship Id="rId15" Type="http://schemas.openxmlformats.org/officeDocument/2006/relationships/hyperlink" Target="https://www.jrf.org.uk/cost-of-living/a-decade-of-falling-incomes-jrfs-pre-budget-assessment-of-living-standards" TargetMode="External"/><Relationship Id="rId16" Type="http://schemas.openxmlformats.org/officeDocument/2006/relationships/hyperlink" Target="https://academic.oup.com/eurpub/advance-article/doi/10.1093/eurpub/ckag026/8488650?login=false" TargetMode="External"/><Relationship Id="rId17" Type="http://schemas.openxmlformats.org/officeDocument/2006/relationships/hyperlink" Target="https://us.politsturm.com/british-nhs-cut-standards" TargetMode="External"/><Relationship Id="rId18" Type="http://schemas.openxmlformats.org/officeDocument/2006/relationships/hyperlink" Target="https://us.politsturm.com/the-consequences-of-the-capitalism-crisis" TargetMode="External"/><Relationship Id="rId19" Type="http://schemas.openxmlformats.org/officeDocument/2006/relationships/hyperlink" Target="https://us.politsturm.com/housing-loans-crisis#v-socialism" TargetMode="External"/><Relationship Id="rId20" Type="http://schemas.openxmlformats.org/officeDocument/2006/relationships/hyperlink" Target="https://us.politsturm.com/healthcare-under-socialism-the-history-of-the-soviet-healthcare-system" TargetMode="External"/><Relationship Id="rId21" Type="http://schemas.openxmlformats.org/officeDocument/2006/relationships/hyperlink" Target="https://www.departments.bucknell.edu/russian/const/77cons0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